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14" w:rsidRDefault="00CA3014" w:rsidP="00CA301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lang w:val="en-ZA"/>
        </w:rPr>
      </w:pPr>
    </w:p>
    <w:p w:rsidR="003611D4" w:rsidRPr="00A351D4" w:rsidRDefault="00CA3014" w:rsidP="003611D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ZA"/>
        </w:rPr>
      </w:pPr>
      <w:r w:rsidRPr="00A351D4">
        <w:rPr>
          <w:rFonts w:ascii="Arial" w:hAnsi="Arial" w:cs="Arial"/>
          <w:b/>
          <w:bCs/>
          <w:sz w:val="28"/>
          <w:szCs w:val="28"/>
          <w:lang w:val="en-ZA"/>
        </w:rPr>
        <w:t xml:space="preserve">NOTICE TO LICENSEES OF AN ACCOUNT DETAILS RELATING TO </w:t>
      </w:r>
      <w:r w:rsidR="003611D4" w:rsidRPr="00A351D4">
        <w:rPr>
          <w:rFonts w:ascii="Arial" w:hAnsi="Arial" w:cs="Arial"/>
          <w:b/>
          <w:bCs/>
          <w:sz w:val="28"/>
          <w:szCs w:val="28"/>
          <w:lang w:val="en-ZA"/>
        </w:rPr>
        <w:t xml:space="preserve">THE </w:t>
      </w:r>
      <w:r w:rsidRPr="00A351D4">
        <w:rPr>
          <w:rFonts w:ascii="Arial" w:hAnsi="Arial" w:cs="Arial"/>
          <w:b/>
          <w:bCs/>
          <w:sz w:val="28"/>
          <w:szCs w:val="28"/>
          <w:lang w:val="en-ZA"/>
        </w:rPr>
        <w:t>PAYMENT OF UNLAWFUL WINNINGS</w:t>
      </w:r>
    </w:p>
    <w:p w:rsidR="003611D4" w:rsidRPr="003A6E89" w:rsidRDefault="003611D4" w:rsidP="003611D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ZA"/>
        </w:rPr>
      </w:pPr>
    </w:p>
    <w:p w:rsidR="003611D4" w:rsidRPr="003A6E89" w:rsidRDefault="003A6E89" w:rsidP="003A6E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ZA"/>
        </w:rPr>
      </w:pPr>
      <w:r w:rsidRPr="003A6E89">
        <w:rPr>
          <w:rFonts w:ascii="Arial" w:hAnsi="Arial" w:cs="Arial"/>
          <w:b/>
          <w:bCs/>
          <w:lang w:val="en-ZA"/>
        </w:rPr>
        <w:t>Updated 28 June 2012</w:t>
      </w:r>
    </w:p>
    <w:p w:rsidR="003A6E89" w:rsidRPr="003611D4" w:rsidRDefault="003A6E89" w:rsidP="003611D4">
      <w:pPr>
        <w:autoSpaceDE w:val="0"/>
        <w:autoSpaceDN w:val="0"/>
        <w:adjustRightInd w:val="0"/>
        <w:rPr>
          <w:rFonts w:ascii="Arial" w:hAnsi="Arial" w:cs="Arial"/>
          <w:bCs/>
          <w:lang w:val="en-ZA"/>
        </w:rPr>
      </w:pPr>
    </w:p>
    <w:p w:rsidR="00E603FF" w:rsidRPr="00E603FF" w:rsidRDefault="00E603FF" w:rsidP="00E603FF">
      <w:pPr>
        <w:pStyle w:val="Header"/>
        <w:jc w:val="both"/>
        <w:rPr>
          <w:rFonts w:ascii="Arial" w:hAnsi="Arial" w:cs="Arial"/>
        </w:rPr>
      </w:pPr>
      <w:r w:rsidRPr="00E603FF">
        <w:rPr>
          <w:rFonts w:ascii="Arial" w:hAnsi="Arial" w:cs="Arial"/>
        </w:rPr>
        <w:t xml:space="preserve">This notice </w:t>
      </w:r>
      <w:r w:rsidR="00B33827">
        <w:rPr>
          <w:rFonts w:ascii="Arial" w:hAnsi="Arial" w:cs="Arial"/>
        </w:rPr>
        <w:t xml:space="preserve">is </w:t>
      </w:r>
      <w:r w:rsidRPr="00E603FF">
        <w:rPr>
          <w:rFonts w:ascii="Arial" w:hAnsi="Arial" w:cs="Arial"/>
        </w:rPr>
        <w:t xml:space="preserve">issued in terms of section 16 of the National Gambling Act, 2004 (Act No 7 of 2004 and regulation 6 of the National Gambling Regulations, 2004. In terms of regulation 6 of the National Gambling Regulations, 2004 this notice remains in force until the form for remittance of unlawful winnings is available as part of the </w:t>
      </w:r>
      <w:r w:rsidR="00B33827">
        <w:rPr>
          <w:rFonts w:ascii="Arial" w:hAnsi="Arial" w:cs="Arial"/>
        </w:rPr>
        <w:t>R</w:t>
      </w:r>
      <w:r w:rsidRPr="00E603FF">
        <w:rPr>
          <w:rFonts w:ascii="Arial" w:hAnsi="Arial" w:cs="Arial"/>
        </w:rPr>
        <w:t>egulations</w:t>
      </w:r>
      <w:r w:rsidR="00B33827">
        <w:rPr>
          <w:rFonts w:ascii="Arial" w:hAnsi="Arial" w:cs="Arial"/>
        </w:rPr>
        <w:t>.</w:t>
      </w:r>
      <w:r w:rsidRPr="00E603FF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2667000" cy="10668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Pr="00E603FF">
        <w:rPr>
          <w:rFonts w:ascii="Arial" w:hAnsi="Arial" w:cs="Arial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ge">
              <wp:posOffset>428625</wp:posOffset>
            </wp:positionV>
            <wp:extent cx="2238375" cy="1724025"/>
            <wp:effectExtent l="0" t="0" r="0" b="0"/>
            <wp:wrapNone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:rsidR="00E603FF" w:rsidRDefault="00E603FF" w:rsidP="003611D4">
      <w:pPr>
        <w:pStyle w:val="Header"/>
        <w:jc w:val="both"/>
        <w:rPr>
          <w:rFonts w:ascii="Arial" w:hAnsi="Arial" w:cs="Arial"/>
        </w:rPr>
      </w:pP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 xml:space="preserve">Section 16(3) of the National Gambling Act </w:t>
      </w:r>
      <w:r w:rsidR="00A351D4">
        <w:rPr>
          <w:rFonts w:ascii="Arial" w:hAnsi="Arial" w:cs="Arial"/>
        </w:rPr>
        <w:t>stipulates</w:t>
      </w:r>
      <w:r w:rsidRPr="003611D4">
        <w:rPr>
          <w:rFonts w:ascii="Arial" w:hAnsi="Arial" w:cs="Arial"/>
        </w:rPr>
        <w:t xml:space="preserve"> that “Any persons prevented from paying unlawful winnings must remit those winnings to the Board in the prescribed </w:t>
      </w:r>
      <w:r w:rsidR="00B33827" w:rsidRPr="003611D4">
        <w:rPr>
          <w:rFonts w:ascii="Arial" w:hAnsi="Arial" w:cs="Arial"/>
        </w:rPr>
        <w:t>manner</w:t>
      </w:r>
      <w:r w:rsidRPr="003611D4">
        <w:rPr>
          <w:rFonts w:ascii="Arial" w:hAnsi="Arial" w:cs="Arial"/>
        </w:rPr>
        <w:t>, which is prescribed hereunder: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</w:p>
    <w:p w:rsid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>The following procedure needs to be followed by the Operator that</w:t>
      </w:r>
      <w:r>
        <w:rPr>
          <w:rFonts w:ascii="Arial" w:hAnsi="Arial" w:cs="Arial"/>
        </w:rPr>
        <w:t xml:space="preserve"> has</w:t>
      </w:r>
      <w:r w:rsidRPr="003611D4">
        <w:rPr>
          <w:rFonts w:ascii="Arial" w:hAnsi="Arial" w:cs="Arial"/>
        </w:rPr>
        <w:t xml:space="preserve"> identified and posse</w:t>
      </w:r>
      <w:r w:rsidR="00B33827">
        <w:rPr>
          <w:rFonts w:ascii="Arial" w:hAnsi="Arial" w:cs="Arial"/>
        </w:rPr>
        <w:t>s</w:t>
      </w:r>
      <w:r w:rsidRPr="003611D4">
        <w:rPr>
          <w:rFonts w:ascii="Arial" w:hAnsi="Arial" w:cs="Arial"/>
        </w:rPr>
        <w:t>s</w:t>
      </w:r>
      <w:r w:rsidR="00B33827">
        <w:rPr>
          <w:rFonts w:ascii="Arial" w:hAnsi="Arial" w:cs="Arial"/>
        </w:rPr>
        <w:t>es</w:t>
      </w:r>
      <w:r w:rsidRPr="003611D4">
        <w:rPr>
          <w:rFonts w:ascii="Arial" w:hAnsi="Arial" w:cs="Arial"/>
        </w:rPr>
        <w:t xml:space="preserve"> the unlawful winning:</w:t>
      </w:r>
    </w:p>
    <w:p w:rsidR="003611D4" w:rsidRDefault="003611D4" w:rsidP="003611D4">
      <w:pPr>
        <w:pStyle w:val="Header"/>
        <w:jc w:val="both"/>
        <w:rPr>
          <w:rFonts w:ascii="Arial" w:hAnsi="Arial" w:cs="Arial"/>
        </w:rPr>
      </w:pPr>
    </w:p>
    <w:p w:rsidR="003611D4" w:rsidRDefault="003611D4" w:rsidP="003611D4">
      <w:pPr>
        <w:pStyle w:val="Header"/>
        <w:numPr>
          <w:ilvl w:val="0"/>
          <w:numId w:val="3"/>
        </w:numPr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>Provide a copy of the exclusion form that was completed by the punter;</w:t>
      </w:r>
    </w:p>
    <w:p w:rsidR="003611D4" w:rsidRDefault="003611D4" w:rsidP="003611D4">
      <w:pPr>
        <w:pStyle w:val="Header"/>
        <w:numPr>
          <w:ilvl w:val="0"/>
          <w:numId w:val="3"/>
        </w:numPr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>Complete Form NGB 2 in respect of the incident;</w:t>
      </w:r>
    </w:p>
    <w:p w:rsidR="003611D4" w:rsidRDefault="003611D4" w:rsidP="003611D4">
      <w:pPr>
        <w:pStyle w:val="Header"/>
        <w:numPr>
          <w:ilvl w:val="0"/>
          <w:numId w:val="3"/>
        </w:numPr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>Deposit/transfer the unlawful winnings into the NGB trust account (see details below) and send the confirmation of the deposit/transfer to the NGB;</w:t>
      </w:r>
    </w:p>
    <w:p w:rsidR="003611D4" w:rsidRDefault="003611D4" w:rsidP="003611D4">
      <w:pPr>
        <w:pStyle w:val="Header"/>
        <w:numPr>
          <w:ilvl w:val="0"/>
          <w:numId w:val="3"/>
        </w:numPr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 xml:space="preserve">Provide an investigation report into the incident and </w:t>
      </w:r>
    </w:p>
    <w:p w:rsidR="003611D4" w:rsidRPr="003611D4" w:rsidRDefault="003611D4" w:rsidP="003611D4">
      <w:pPr>
        <w:pStyle w:val="Header"/>
        <w:numPr>
          <w:ilvl w:val="0"/>
          <w:numId w:val="3"/>
        </w:numPr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>Provide a video recording/footage of the incident (preferably on DVD/CD).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</w:rPr>
        <w:t xml:space="preserve">The Trust Account particulars into which the unlawful winnings </w:t>
      </w:r>
      <w:r w:rsidR="00A351D4">
        <w:rPr>
          <w:rFonts w:ascii="Arial" w:hAnsi="Arial" w:cs="Arial"/>
        </w:rPr>
        <w:t>should</w:t>
      </w:r>
      <w:r w:rsidRPr="003611D4">
        <w:rPr>
          <w:rFonts w:ascii="Arial" w:hAnsi="Arial" w:cs="Arial"/>
        </w:rPr>
        <w:t xml:space="preserve"> be paid are as follows: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</w:p>
    <w:p w:rsid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  <w:b/>
        </w:rPr>
        <w:t>Account Holder:</w:t>
      </w:r>
      <w:r>
        <w:rPr>
          <w:rFonts w:ascii="Arial" w:hAnsi="Arial" w:cs="Arial"/>
        </w:rPr>
        <w:t xml:space="preserve"> National Gambling Board 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  <w:b/>
        </w:rPr>
        <w:t>Bank:</w:t>
      </w:r>
      <w:r>
        <w:rPr>
          <w:rFonts w:ascii="Arial" w:hAnsi="Arial" w:cs="Arial"/>
        </w:rPr>
        <w:t xml:space="preserve"> </w:t>
      </w:r>
      <w:r w:rsidRPr="003611D4">
        <w:rPr>
          <w:rFonts w:ascii="Arial" w:hAnsi="Arial" w:cs="Arial"/>
        </w:rPr>
        <w:t xml:space="preserve">ABSA </w:t>
      </w:r>
      <w:r>
        <w:rPr>
          <w:rFonts w:ascii="Arial" w:hAnsi="Arial" w:cs="Arial"/>
        </w:rPr>
        <w:t>Trust Limited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  <w:b/>
        </w:rPr>
        <w:t>Account No:</w:t>
      </w:r>
      <w:r w:rsidRPr="003611D4">
        <w:rPr>
          <w:rFonts w:ascii="Arial" w:hAnsi="Arial" w:cs="Arial"/>
        </w:rPr>
        <w:t xml:space="preserve"> 4071645540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  <w:b/>
        </w:rPr>
        <w:t>Account type:</w:t>
      </w:r>
      <w:r w:rsidRPr="003611D4">
        <w:rPr>
          <w:rFonts w:ascii="Arial" w:hAnsi="Arial" w:cs="Arial"/>
        </w:rPr>
        <w:t xml:space="preserve"> Cheque Account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  <w:b/>
        </w:rPr>
        <w:t>Branch code:</w:t>
      </w:r>
      <w:r w:rsidRPr="003611D4">
        <w:rPr>
          <w:rFonts w:ascii="Arial" w:hAnsi="Arial" w:cs="Arial"/>
        </w:rPr>
        <w:t xml:space="preserve"> 632005</w:t>
      </w:r>
    </w:p>
    <w:p w:rsidR="003611D4" w:rsidRPr="003611D4" w:rsidRDefault="003611D4" w:rsidP="003611D4">
      <w:pPr>
        <w:pStyle w:val="Header"/>
        <w:jc w:val="both"/>
        <w:rPr>
          <w:rFonts w:ascii="Arial" w:hAnsi="Arial" w:cs="Arial"/>
        </w:rPr>
      </w:pPr>
      <w:r w:rsidRPr="003611D4">
        <w:rPr>
          <w:rFonts w:ascii="Arial" w:hAnsi="Arial" w:cs="Arial"/>
          <w:b/>
        </w:rPr>
        <w:t>Branch name:</w:t>
      </w:r>
      <w:r w:rsidRPr="003611D4">
        <w:rPr>
          <w:rFonts w:ascii="Arial" w:hAnsi="Arial" w:cs="Arial"/>
        </w:rPr>
        <w:t xml:space="preserve"> Pretoria Branch</w:t>
      </w:r>
    </w:p>
    <w:p w:rsidR="00A351D4" w:rsidRDefault="00A351D4" w:rsidP="003611D4">
      <w:pPr>
        <w:autoSpaceDE w:val="0"/>
        <w:autoSpaceDN w:val="0"/>
        <w:adjustRightInd w:val="0"/>
        <w:rPr>
          <w:rFonts w:ascii="Arial" w:hAnsi="Arial" w:cs="Arial"/>
          <w:b/>
          <w:bCs/>
          <w:lang w:val="en-ZA"/>
        </w:rPr>
      </w:pPr>
    </w:p>
    <w:p w:rsidR="00243CE7" w:rsidRPr="00243CE7" w:rsidRDefault="001A70DE" w:rsidP="00243CE7">
      <w:pPr>
        <w:autoSpaceDE w:val="0"/>
        <w:autoSpaceDN w:val="0"/>
        <w:adjustRightInd w:val="0"/>
        <w:jc w:val="both"/>
        <w:rPr>
          <w:rFonts w:ascii="Arial" w:hAnsi="Arial" w:cs="Arial"/>
          <w:lang w:val="en-ZA"/>
        </w:rPr>
      </w:pPr>
      <w:r w:rsidRPr="00243CE7">
        <w:rPr>
          <w:rFonts w:ascii="Arial" w:hAnsi="Arial" w:cs="Arial"/>
        </w:rPr>
        <w:t xml:space="preserve">For more information contact the National Gambling Board on telephone (012) 394 3800, </w:t>
      </w:r>
      <w:r w:rsidR="00750394">
        <w:rPr>
          <w:rFonts w:ascii="Arial" w:hAnsi="Arial" w:cs="Arial"/>
        </w:rPr>
        <w:br/>
      </w:r>
      <w:r w:rsidRPr="00243CE7">
        <w:rPr>
          <w:rFonts w:ascii="Arial" w:hAnsi="Arial" w:cs="Arial"/>
        </w:rPr>
        <w:t>fax: (012) 394 4800</w:t>
      </w:r>
      <w:r w:rsidR="00243CE7">
        <w:rPr>
          <w:rFonts w:ascii="Arial" w:hAnsi="Arial" w:cs="Arial"/>
        </w:rPr>
        <w:t xml:space="preserve">, </w:t>
      </w:r>
      <w:r w:rsidRPr="00243CE7">
        <w:rPr>
          <w:rFonts w:ascii="Arial" w:hAnsi="Arial" w:cs="Arial"/>
        </w:rPr>
        <w:t xml:space="preserve">e-mail: </w:t>
      </w:r>
      <w:hyperlink r:id="rId9" w:history="1">
        <w:r w:rsidR="00243CE7" w:rsidRPr="00243CE7">
          <w:rPr>
            <w:rStyle w:val="Hyperlink"/>
            <w:rFonts w:ascii="Arial" w:hAnsi="Arial" w:cs="Arial"/>
          </w:rPr>
          <w:t>info@ngb.org.za</w:t>
        </w:r>
      </w:hyperlink>
      <w:r w:rsidR="00243CE7">
        <w:rPr>
          <w:rFonts w:ascii="Arial" w:hAnsi="Arial" w:cs="Arial"/>
        </w:rPr>
        <w:t xml:space="preserve">, </w:t>
      </w:r>
      <w:r w:rsidR="00243CE7" w:rsidRPr="00243CE7">
        <w:rPr>
          <w:rFonts w:ascii="Arial" w:hAnsi="Arial" w:cs="Arial"/>
          <w:lang w:val="en-ZA"/>
        </w:rPr>
        <w:t>77 Meintjies Street, Sunnyside,</w:t>
      </w:r>
      <w:r w:rsidR="00243CE7">
        <w:rPr>
          <w:rFonts w:ascii="Arial" w:hAnsi="Arial" w:cs="Arial"/>
          <w:lang w:val="en-ZA"/>
        </w:rPr>
        <w:t xml:space="preserve"> Pretoria</w:t>
      </w:r>
      <w:r w:rsidR="00750394">
        <w:rPr>
          <w:rFonts w:ascii="Arial" w:hAnsi="Arial" w:cs="Arial"/>
          <w:lang w:val="en-ZA"/>
        </w:rPr>
        <w:t>, 0002</w:t>
      </w:r>
      <w:r w:rsidR="00243CE7">
        <w:rPr>
          <w:rFonts w:ascii="Arial" w:hAnsi="Arial" w:cs="Arial"/>
          <w:lang w:val="en-ZA"/>
        </w:rPr>
        <w:t xml:space="preserve"> or </w:t>
      </w:r>
      <w:r w:rsidR="00243CE7" w:rsidRPr="00243CE7">
        <w:rPr>
          <w:rFonts w:ascii="Arial" w:hAnsi="Arial" w:cs="Arial"/>
          <w:lang w:val="en-ZA"/>
        </w:rPr>
        <w:t>Private Bag X27, Hatfield, 0028.</w:t>
      </w:r>
    </w:p>
    <w:sectPr w:rsidR="00243CE7" w:rsidRPr="00243CE7" w:rsidSect="007F19C8">
      <w:pgSz w:w="11900" w:h="16840"/>
      <w:pgMar w:top="3686" w:right="680" w:bottom="1701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FDE" w:rsidRDefault="00A12FDE" w:rsidP="007F19C8">
      <w:r>
        <w:separator/>
      </w:r>
    </w:p>
  </w:endnote>
  <w:endnote w:type="continuationSeparator" w:id="1">
    <w:p w:rsidR="00A12FDE" w:rsidRDefault="00A12FDE" w:rsidP="007F1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FDE" w:rsidRDefault="00A12FDE" w:rsidP="007F19C8">
      <w:r>
        <w:separator/>
      </w:r>
    </w:p>
  </w:footnote>
  <w:footnote w:type="continuationSeparator" w:id="1">
    <w:p w:rsidR="00A12FDE" w:rsidRDefault="00A12FDE" w:rsidP="007F1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11C34"/>
    <w:multiLevelType w:val="hybridMultilevel"/>
    <w:tmpl w:val="BE10F34A"/>
    <w:lvl w:ilvl="0" w:tplc="C73A84D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338A8"/>
    <w:multiLevelType w:val="multilevel"/>
    <w:tmpl w:val="1C09001D"/>
    <w:numStyleLink w:val="Style1"/>
  </w:abstractNum>
  <w:abstractNum w:abstractNumId="2">
    <w:nsid w:val="54225B7C"/>
    <w:multiLevelType w:val="multilevel"/>
    <w:tmpl w:val="1C09001D"/>
    <w:styleLink w:val="Style1"/>
    <w:lvl w:ilvl="0">
      <w:start w:val="1"/>
      <w:numFmt w:val="low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19C8"/>
    <w:rsid w:val="0001571B"/>
    <w:rsid w:val="000359A5"/>
    <w:rsid w:val="00174C9F"/>
    <w:rsid w:val="001946EF"/>
    <w:rsid w:val="001A2534"/>
    <w:rsid w:val="001A70DE"/>
    <w:rsid w:val="00202FEC"/>
    <w:rsid w:val="00243CE7"/>
    <w:rsid w:val="002D3640"/>
    <w:rsid w:val="003611D4"/>
    <w:rsid w:val="003A6E89"/>
    <w:rsid w:val="00416846"/>
    <w:rsid w:val="004E27C5"/>
    <w:rsid w:val="0050763B"/>
    <w:rsid w:val="00576ABB"/>
    <w:rsid w:val="005A47ED"/>
    <w:rsid w:val="005E59DE"/>
    <w:rsid w:val="006E1330"/>
    <w:rsid w:val="00750394"/>
    <w:rsid w:val="007F19C8"/>
    <w:rsid w:val="009117B9"/>
    <w:rsid w:val="009752BF"/>
    <w:rsid w:val="00A12FDE"/>
    <w:rsid w:val="00A351D4"/>
    <w:rsid w:val="00AC1B42"/>
    <w:rsid w:val="00B16F6F"/>
    <w:rsid w:val="00B33827"/>
    <w:rsid w:val="00B4507B"/>
    <w:rsid w:val="00CA1F5B"/>
    <w:rsid w:val="00CA3014"/>
    <w:rsid w:val="00CB417F"/>
    <w:rsid w:val="00CE0223"/>
    <w:rsid w:val="00DA0AD0"/>
    <w:rsid w:val="00E603FF"/>
    <w:rsid w:val="00EE0E33"/>
    <w:rsid w:val="00EF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1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C8"/>
  </w:style>
  <w:style w:type="paragraph" w:styleId="Footer">
    <w:name w:val="footer"/>
    <w:basedOn w:val="Normal"/>
    <w:link w:val="FooterChar"/>
    <w:uiPriority w:val="99"/>
    <w:unhideWhenUsed/>
    <w:rsid w:val="007F1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C8"/>
  </w:style>
  <w:style w:type="paragraph" w:styleId="BalloonText">
    <w:name w:val="Balloon Text"/>
    <w:basedOn w:val="Normal"/>
    <w:link w:val="BalloonTextChar"/>
    <w:uiPriority w:val="99"/>
    <w:semiHidden/>
    <w:unhideWhenUsed/>
    <w:rsid w:val="007F1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C8"/>
    <w:rPr>
      <w:rFonts w:ascii="Lucida Grande" w:hAnsi="Lucida Grande" w:cs="Lucida Grande"/>
      <w:sz w:val="18"/>
      <w:szCs w:val="18"/>
    </w:rPr>
  </w:style>
  <w:style w:type="numbering" w:customStyle="1" w:styleId="Style1">
    <w:name w:val="Style1"/>
    <w:uiPriority w:val="99"/>
    <w:rsid w:val="003611D4"/>
    <w:pPr>
      <w:numPr>
        <w:numId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35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1D4"/>
    <w:rPr>
      <w:b/>
      <w:bCs/>
    </w:rPr>
  </w:style>
  <w:style w:type="character" w:styleId="Hyperlink">
    <w:name w:val="Hyperlink"/>
    <w:basedOn w:val="DefaultParagraphFont"/>
    <w:uiPriority w:val="99"/>
    <w:unhideWhenUsed/>
    <w:rsid w:val="00243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C8"/>
  </w:style>
  <w:style w:type="paragraph" w:styleId="Footer">
    <w:name w:val="footer"/>
    <w:basedOn w:val="Normal"/>
    <w:link w:val="FooterChar"/>
    <w:uiPriority w:val="99"/>
    <w:unhideWhenUsed/>
    <w:rsid w:val="007F1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C8"/>
  </w:style>
  <w:style w:type="paragraph" w:styleId="BalloonText">
    <w:name w:val="Balloon Text"/>
    <w:basedOn w:val="Normal"/>
    <w:link w:val="BalloonTextChar"/>
    <w:uiPriority w:val="99"/>
    <w:semiHidden/>
    <w:unhideWhenUsed/>
    <w:rsid w:val="007F1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ngb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Wimpey</dc:creator>
  <cp:lastModifiedBy>kkleinbooi</cp:lastModifiedBy>
  <cp:revision>15</cp:revision>
  <cp:lastPrinted>2012-06-28T12:18:00Z</cp:lastPrinted>
  <dcterms:created xsi:type="dcterms:W3CDTF">2012-02-23T10:03:00Z</dcterms:created>
  <dcterms:modified xsi:type="dcterms:W3CDTF">2012-06-28T12:21:00Z</dcterms:modified>
</cp:coreProperties>
</file>